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Graver / graverka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7517225011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5197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vsaj poklicno izobrazbo s področja strojništva ali steklarstva ali srednjo izobrazbo s področja grafičnega ali industrijskega oblikovanja ali izobrazbo s področja arhitekture in 5 let delovnih izkušenj na področju graverstva ali graverstvu p</w:t>
      </w:r>
      <w:r>
        <w:rPr>
          <w:rFonts w:ascii="Times New Roman" w:eastAsia="Times New Roman" w:hAnsi="Times New Roman" w:cs="Times New Roman"/>
          <w:sz w:val="20"/>
        </w:rPr>
        <w:t>odobnim tehnikam dela,</w:t>
      </w:r>
    </w:p>
    <w:p w:rsidR="00196230" w:rsidRPr="00D51975" w:rsidRDefault="00D51975" w:rsidP="00D5197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5 let delovnih izkušenj s področja graverstva.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Graver / graverka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7517225011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Graver / graverka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7517225011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5197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7C8A"/>
    <w:multiLevelType w:val="multilevel"/>
    <w:tmpl w:val="0BAE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7F368B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51975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A6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17-22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17-22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17-22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D6C74-F52D-4559-9C65-AAE6FA9A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2024-01-08T09:51:00Z</dcterms:created>
  <dcterms:modified xsi:type="dcterms:W3CDTF">2024-01-08T09:51:00Z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