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22. 04. 2024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Strojni obdelovalec kamna/strojna obdelovalka kamna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4878767011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D635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višješolsko strokovno izobrazbo s področja gradbeništva ali arhitekture in 5 let delovnih izkušenj s področja gradbeništva ali arhitekture</w:t>
      </w:r>
    </w:p>
    <w:p w:rsidR="00196230" w:rsidRPr="00FD6359" w:rsidRDefault="00FD6359" w:rsidP="00FD635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srednješol</w:t>
      </w:r>
      <w:r>
        <w:rPr>
          <w:rFonts w:ascii="Times New Roman" w:eastAsia="Times New Roman" w:hAnsi="Times New Roman" w:cs="Times New Roman"/>
          <w:sz w:val="20"/>
        </w:rPr>
        <w:t>sko izobrazbo tehnične smeri in 5 let delovnih izkušenj pri organiziranju in vodenju kamnoseških del.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Strojni obdelovalec kamna/strojna obdelovalka kamna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4878767011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Strojni obdelovalec kamna/strojna obdelovalka kamna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4878767011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D635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D11"/>
    <w:multiLevelType w:val="multilevel"/>
    <w:tmpl w:val="A1F6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4E030E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D6359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E4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78-76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78-76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78-76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CFD9E-665A-4B7D-96BD-AE011A8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2024-04-22T07:06:00Z</dcterms:created>
  <dcterms:modified xsi:type="dcterms:W3CDTF">2024-04-22T07:06:00Z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